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071B7AEC">
      <w:pPr>
        <w:spacing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Techninės specifikacijos Priedas Nr. </w:t>
      </w:r>
      <w:r>
        <w:rPr>
          <w:rFonts w:ascii="Times New Roman" w:hAnsi="Times New Roman" w:cs="Times New Roman"/>
          <w:lang w:val="lt-LT"/>
        </w:rPr>
        <w:t xml:space="preserve">2</w:t>
      </w:r>
    </w:p>
    <w:p w14:paraId="00659DCD">
      <w:pPr>
        <w:spacing/>
        <w:rPr>
          <w:rFonts w:ascii="Times New Roman" w:hAnsi="Times New Roman" w:cs="Times New Roman"/>
          <w:lang w:val="lt-LT"/>
        </w:rPr>
      </w:pPr>
    </w:p>
    <w:p w14:paraId="55637639">
      <w:pPr>
        <w:spacing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Mobilios autocisternų pakrovimo ir iškrovimo krovos stotelės su apskaitos mazgu techninių parametrų atitikties lentelė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63BB3DC0">
      <w:pPr>
        <w:spacing/>
        <w:jc w:val="center"/>
        <w:rPr>
          <w:rFonts w:ascii="Times New Roman" w:hAnsi="Times New Roman" w:eastAsia="Baskerville" w:cs="Times New Roman"/>
          <w:lang w:val="lt-LT" w:eastAsia="lt-LT"/>
        </w:rPr>
      </w:pPr>
    </w:p>
    <w:tbl>
      <w:tblPr>
        <w:tblStyle w:val="TableGrid1"/>
        <w:tblW w:w="5160" w:type="pct"/>
        <w:tblInd w:w="-572" w:type="dxa"/>
        <w:tblBorders>
          <w:top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7975"/>
        <w:gridCol w:w="6324"/>
      </w:tblGrid>
      <w:tr>
        <w:trPr>
          <w:cantSplit/>
          <w:trHeight w:val="1077" w:hRule="atLeast"/>
        </w:trPr>
        <w:tc>
          <w:tcPr>
            <w:tcW w:type="pct" w:w="245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  <w:lang w:val="lt-LT"/>
              </w:rPr>
              <w:t xml:space="preserve">Eil. Nr.</w:t>
            </w:r>
          </w:p>
        </w:tc>
        <w:tc>
          <w:tcPr>
            <w:tcW w:type="pct" w:w="265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  <w:lang w:val="lt-LT"/>
              </w:rPr>
              <w:t xml:space="preserve">Techniniai reikalavimai </w:t>
            </w:r>
          </w:p>
          <w:p>
            <w:pPr>
              <w:spacing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  <w:lang w:val="lt-LT"/>
              </w:rPr>
              <w:t xml:space="preserve">(prekės, įrenginio, įrangos savybės, parametrų arba funkcijų išpildymas)</w:t>
            </w:r>
          </w:p>
        </w:tc>
        <w:tc>
          <w:tcPr>
            <w:tcW w:type="pct" w:w="210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lt-LT"/>
              </w:rPr>
            </w:pPr>
            <w:r>
              <w:rPr>
                <w:rStyle w:val="cf01"/>
                <w:rFonts w:asciiTheme="majorBidi" w:hAnsiTheme="majorBidi" w:cstheme="majorBidi"/>
                <w:sz w:val="24"/>
                <w:szCs w:val="24"/>
                <w:lang w:val="lt-LT"/>
              </w:rPr>
              <w:t xml:space="preserve">Tiekėjas </w:t>
            </w:r>
            <w:r>
              <w:rPr>
                <w:rStyle w:val="cf11"/>
                <w:rFonts w:asciiTheme="majorBidi" w:hAnsiTheme="majorBidi" w:cstheme="majorBidi"/>
                <w:sz w:val="24"/>
                <w:szCs w:val="24"/>
                <w:lang w:val="lt-LT"/>
              </w:rPr>
              <w:t xml:space="preserve">privalo </w:t>
            </w:r>
            <w:r>
              <w:rPr>
                <w:rStyle w:val="cf01"/>
                <w:rFonts w:asciiTheme="majorBidi" w:hAnsiTheme="majorBidi" w:cstheme="majorBidi"/>
                <w:sz w:val="24"/>
                <w:szCs w:val="24"/>
                <w:lang w:val="lt-LT"/>
              </w:rPr>
              <w:t xml:space="preserve">patvirtinti atitikimą techniniam reikalavimui nurodydamas: taip/ne o, kur to reikalaujama, įrašyti tikslią siūlomos Prekės reikšmę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turi būti sumontuota ant rėmo su galimybe transportuoti šakiniu krautuvu.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turi būti pritaikyta tiek pakrauti, tiek iškrauti autocisterną.</w:t>
            </w:r>
          </w:p>
          <w:p>
            <w:pPr>
              <w:spacing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Galimybė parinkti skirtingus krovos režimus:</w:t>
            </w:r>
          </w:p>
          <w:p>
            <w:pPr>
              <w:spacing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1. Pylimas į autocisterną pagal apskaitą ir civacon apsaugom;</w:t>
            </w:r>
          </w:p>
          <w:p>
            <w:pPr>
              <w:spacing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2. Pylimas į autocisterną pagal apskaitą su lygio šakutės ir įžeminimo apsauga;</w:t>
            </w:r>
          </w:p>
          <w:p>
            <w:pPr>
              <w:spacing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3. Išpylimas iš autocisternos be apskaitos su civacon apsauga;</w:t>
            </w:r>
          </w:p>
          <w:p>
            <w:pPr>
              <w:spacing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4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. Išpylimas iš autocisternos be apskaitos su įžeminimo kontrole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Mobilios krovos stotelės technologinis vamzdynas -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plieninis antikoroziniu dengimu C5-I H. Skersmuo atitinkamai sumontuoto siurblio našumui bei slėgiui. 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lang w:val="lt-LT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Mobilios krovos stotelės technologinis vamzdynas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u w:val="single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lang w:val="lt-LT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Mobilios krovos stotelės energijos šaltinis – elektra. Komplektuojama kartu su 63 A kištuku, 30 m kabeliu ir numatyta laikymo vieta.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Stotelė (ir jos komponentai) turi būti tinkama eksploatuoti esant -29....+35 С° temperatūrai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Kraunami produktai: RRME, HVO, dyzelinis kuras, etanolis.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tabs>
                <w:tab w:val="left" w:pos="851"/>
                <w:tab w:val="left" w:pos="5779"/>
              </w:tabs>
              <w:spacing w:after="0"/>
              <w:ind w:left="455" w:hanging="455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su apskaitos prietaisu (tūrinis srauto matuoklis arba analogiškas matavimo prietaisas). Naudojamas autocisternos apsaugai nuo perpylimo. Apskaitos prietaisas integruotas į mobilios stotelės valdymą.</w:t>
            </w:r>
          </w:p>
          <w:p>
            <w:pPr>
              <w:pStyle w:val="ListParagraph"/>
              <w:numPr>
                <w:ilvl w:val="1"/>
                <w:numId w:val="1"/>
              </w:numPr>
              <w:tabs>
                <w:tab w:val="left" w:pos="455"/>
                <w:tab w:val="left" w:pos="5779"/>
              </w:tabs>
              <w:spacing w:after="0"/>
              <w:ind w:left="440" w:hanging="440"/>
              <w:jc w:val="left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Kartu su apskaitos prietaisu komplektuojamas filtras ir oro pašalinimo prietaisas.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Siūlomas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matavimo prietaisas</w:t>
            </w:r>
          </w:p>
        </w:tc>
      </w:tr>
      <w:tr>
        <w:trPr>
          <w:cantSplit/>
          <w:trHeight w:val="765" w:hRule="atLeast"/>
        </w:trPr>
        <w:tc>
          <w:tcPr>
            <w:tcW w:type="pct" w:w="245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8.1. Mobili krovos stotelė komplektuojama su įžeminimo kontrole ir jos indikacija.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  <w:trHeight w:val="818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spacing/>
              <w:ind w:left="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8.2. Mobili stotelė -&gt; įžeminimo taškas. Komplektuojama savaime įsitraukianti ritė su 15 m kabeliu ir įžeminimo žnyplėmis;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lang w:val="lt-LT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Komplektuojama su savaime įsitraukiančia rite su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m kabeliu ir įžeminimo žnypl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ėmis</w:t>
            </w:r>
          </w:p>
        </w:tc>
      </w:tr>
      <w:tr>
        <w:trPr>
          <w:cantSplit/>
          <w:trHeight w:val="675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spacing/>
              <w:ind w:left="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tabs>
                <w:tab w:val="left" w:pos="851"/>
                <w:tab w:val="left" w:pos="5779"/>
              </w:tabs>
              <w:spacing w:after="0"/>
              <w:ind w:left="455" w:hanging="455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stotelė -&gt; autocisterna. Komplektuojama su 6 m spiraliniu kabeliu ir įžeminimo žnyplėmis.</w:t>
            </w:r>
          </w:p>
          <w:p>
            <w:pPr>
              <w:spacing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Komplektuojama su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m spiraliniu kabeliu ir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įžeminimo žnypl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ėmis</w:t>
            </w:r>
          </w:p>
        </w:tc>
      </w:tr>
      <w:tr>
        <w:trPr>
          <w:cantSplit/>
          <w:trHeight w:val="447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spacing/>
              <w:ind w:left="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tabs>
                <w:tab w:val="left" w:pos="0"/>
                <w:tab w:val="left" w:pos="597"/>
              </w:tabs>
              <w:spacing w:after="0"/>
              <w:ind w:left="455" w:hanging="455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Įžeminimo kontrolė integruota į mobilios stotelės veikimo valdymą.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  <w:trHeight w:val="900" w:hRule="atLeast"/>
        </w:trPr>
        <w:tc>
          <w:tcPr>
            <w:tcW w:type="pct" w:w="245"/>
            <w:vMerge w:val="restart"/>
            <w:tcBorders/>
            <w:vAlign w:val="center"/>
          </w:tcPr>
          <w:p>
            <w:pPr>
              <w:pStyle w:val="ListParagraph"/>
              <w:spacing/>
              <w:ind w:left="360" w:hanging="36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9.</w:t>
            </w:r>
          </w:p>
        </w:tc>
        <w:tc>
          <w:tcPr>
            <w:tcW w:type="pct" w:w="2652"/>
            <w:tcBorders/>
            <w:vAlign w:val="center"/>
          </w:tcPr>
          <w:p>
            <w:pPr>
              <w:tabs>
                <w:tab w:val="left" w:pos="851"/>
                <w:tab w:val="left" w:pos="5779"/>
              </w:tabs>
              <w:spacing w:after="0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9.1.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Apsaugos nuo perpylimo kontrolė (nuo užduoto kiekio ir lygio), lygio kontrolė naudojant „Civacon“ įrangą“(arba lygiavertė įranga)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;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Lygio kontrolė užtikrinama naudojant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įrangą</w:t>
            </w:r>
          </w:p>
        </w:tc>
      </w:tr>
      <w:tr>
        <w:trPr>
          <w:cantSplit/>
          <w:trHeight w:val="900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spacing/>
              <w:ind w:left="360" w:hanging="36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tabs>
                <w:tab w:val="left" w:pos="851"/>
                <w:tab w:val="left" w:pos="1447"/>
              </w:tabs>
              <w:spacing w:after="0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9.2.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6 m ilgio spiralinis kabelis (pritaikytas naftos pramonėje, ATEX išpildymas) su 10 kontaktų, 4J žaliu kištuku (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Model 7300 API plug suderinamas su API socket model 440X)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;</w:t>
            </w:r>
          </w:p>
          <w:p>
            <w:pPr>
              <w:pStyle w:val="ListParagraph"/>
              <w:tabs>
                <w:tab w:val="left" w:pos="851"/>
                <w:tab w:val="left" w:pos="5779"/>
              </w:tabs>
              <w:spacing w:after="0"/>
              <w:ind w:left="360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 m 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ilgio spiralinis kabelis su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vnt.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 kontaktų, 4J žaliu kištuku;</w:t>
            </w:r>
          </w:p>
        </w:tc>
      </w:tr>
      <w:tr>
        <w:trPr>
          <w:cantSplit/>
          <w:trHeight w:val="900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spacing/>
              <w:ind w:left="360" w:hanging="36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tabs>
                <w:tab w:val="left" w:pos="851"/>
                <w:tab w:val="left" w:pos="1447"/>
              </w:tabs>
              <w:spacing w:after="0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9.3.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6 m spiralinis kabelis (pritaikytas naftos pramonėje, ATEX išpildymas) su 6 kontaktų 3J mėlynu kištuku (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Model 7110 API plug suderinamas su API socket model 410X)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;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) m  ilgio 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spiralinis kabelis su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vnt. 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  <w:t xml:space="preserve">kontaktų 3J mėlynu kištuku.</w:t>
            </w:r>
          </w:p>
        </w:tc>
      </w:tr>
      <w:tr>
        <w:trPr>
          <w:cantSplit/>
          <w:trHeight w:val="900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spacing/>
              <w:ind w:left="360" w:hanging="36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4"/>
              </w:numPr>
              <w:tabs>
                <w:tab w:val="left" w:pos="851"/>
                <w:tab w:val="left" w:pos="5779"/>
              </w:tabs>
              <w:spacing w:after="0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Apsaugos nuo perpylimo kontrolė integruota į mobilios stotelės valdymo sistemą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tabs>
                <w:tab w:val="left" w:pos="851"/>
                <w:tab w:val="left" w:pos="5779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tabs>
                <w:tab w:val="left" w:pos="851"/>
                <w:tab w:val="left" w:pos="5779"/>
              </w:tabs>
              <w:spacing w:after="0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Apsaugos nuo perpylimo kontrolė, ant autocisternos liuko užnešamas lygio daviklis (vibracinė lygio šakutė arba analogiškas prietaisas). 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Vibracinė lygio šakutė Ex-i išpildymo, išėjimo signalas NAMUR, reguliuojamo suveikimo diapazono 500 mm šakutė turi būti apsaugota nuo mechaninio pažeidimo (lydinčiame vamzdyje), su kabeliu 30 m skirtu mobiliai instaliacijai, su dangčiu ar galimybe montuoti ant cisternos liuko.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Siūlomas lygio daviklis ir jo parametrai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</w:t>
            </w:r>
          </w:p>
          <w:p>
            <w:pPr>
              <w: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tabs>
                <w:tab w:val="left" w:pos="851"/>
                <w:tab w:val="left" w:pos="5779"/>
              </w:tabs>
              <w:spacing w:after="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komplektuojama su sausos eigos davikliu, montuojamas siurblio įsiurbimo linijoje. Sausos eigos daviklis integruotas į mobilios stotelės valdymo sistemą.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tabs>
                <w:tab w:val="left" w:pos="851"/>
                <w:tab w:val="left" w:pos="5779"/>
              </w:tabs>
              <w:spacing w:after="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8"/>
              </w:numPr>
              <w:tabs>
                <w:tab w:val="left" w:pos="582"/>
                <w:tab w:val="left" w:pos="5779"/>
              </w:tabs>
              <w:spacing w:after="0"/>
              <w:ind w:hanging="793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komplektuojama su lanksčia 4” 6 m ilgio žarna su API mova apatiniam autocisternos pakrovimui/iškrovimui. </w:t>
            </w:r>
          </w:p>
          <w:p>
            <w:pPr>
              <w:pStyle w:val="ListParagraph"/>
              <w:numPr>
                <w:ilvl w:val="1"/>
                <w:numId w:val="8"/>
              </w:numPr>
              <w:tabs>
                <w:tab w:val="left" w:pos="582"/>
                <w:tab w:val="left" w:pos="5779"/>
              </w:tabs>
              <w:spacing w:after="0"/>
              <w:ind w:hanging="793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Krovos žarna ir API mova pritaikyta darbui naftos pramonėje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, turi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garažinės padėties stovą.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</w:p>
          <w:p>
            <w:pPr>
              <w:spacing/>
              <w:ind w:left="28" w:hanging="28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‘‘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m ilgio žarna su API mova apatiniam autocisternos pakrovimui/iškrovimui.</w:t>
            </w:r>
          </w:p>
        </w:tc>
      </w:tr>
      <w:tr>
        <w:trPr>
          <w:cantSplit/>
          <w:trHeight w:val="1032" w:hRule="atLeast"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8"/>
              </w:numPr>
              <w:tabs>
                <w:tab w:val="left" w:pos="440"/>
                <w:tab w:val="left" w:pos="724"/>
              </w:tabs>
              <w:spacing w:after="0"/>
              <w:ind w:left="313" w:hanging="313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stotelė turi būti pritaikyta dirbti sprogioje zonoje (ATEX zona 1, II 2G; 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Dujų aplinka Zona 1 IIB T4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);</w:t>
            </w:r>
          </w:p>
          <w:p>
            <w:pPr>
              <w:pStyle w:val="ListParagraph"/>
              <w:numPr>
                <w:ilvl w:val="1"/>
                <w:numId w:val="8"/>
              </w:numPr>
              <w:tabs>
                <w:tab w:val="left" w:pos="582"/>
                <w:tab w:val="left" w:pos="724"/>
              </w:tabs>
              <w:spacing w:after="0"/>
              <w:ind w:left="313" w:hanging="313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Komplektuojančios dalys atitinkamai turi būti paženklintos „CE“ ir 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lt-LT"/>
              </w:rPr>
              <w:drawing>
                <wp:inline>
                  <wp:extent cx="477619" cy="351693"/>
                  <wp:effectExtent xmlns:wp="http://schemas.openxmlformats.org/drawingml/2006/wordprocessingDrawing"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619" cy="351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 ženklu.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Pritaikyta darbui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ATEX zonoje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Apsaugos lygis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2G</w:t>
            </w:r>
          </w:p>
          <w:p>
            <w:pPr>
              <w:spacing/>
              <w:rPr>
                <w:rFonts w:asciiTheme="majorBidi" w:hAnsiTheme="majorBidi" w:cstheme="majorBidi"/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4"/>
                <w:szCs w:val="24"/>
                <w:lang w:val="lt-LT"/>
              </w:rPr>
              <w:t xml:space="preserve">Dujų aplinka 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</w:p>
        </w:tc>
      </w:tr>
      <w:tr>
        <w:trPr>
          <w:cantSplit/>
        </w:trPr>
        <w:tc>
          <w:tcPr>
            <w:tcW w:type="pct" w:w="245"/>
            <w:tcBorders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eastAsia="Baskerville" w:cstheme="majorBidi"/>
                <w:sz w:val="24"/>
                <w:szCs w:val="24"/>
                <w:lang w:val="lt-LT" w:eastAsia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ind w:left="15"/>
              <w:rPr>
                <w:rFonts w:asciiTheme="majorBidi" w:hAnsiTheme="majorBidi" w:eastAsia="Baskerville" w:cstheme="majorBidi"/>
                <w:sz w:val="24"/>
                <w:szCs w:val="24"/>
                <w:lang w:val="lt-LT" w:eastAsia="lt-LT"/>
              </w:rPr>
            </w:pPr>
            <w:r>
              <w:rPr>
                <w:rFonts w:asciiTheme="majorBidi" w:hAnsiTheme="majorBidi" w:eastAsia="Baskerville" w:cstheme="majorBidi"/>
                <w:sz w:val="24"/>
                <w:szCs w:val="24"/>
                <w:lang w:val="lt-LT" w:eastAsia="lt-LT"/>
              </w:rPr>
              <w:t xml:space="preserve">Mobili krovos stotelė komplektuojama su automatizuotu vožtuvu.</w:t>
            </w:r>
          </w:p>
          <w:p>
            <w:pPr>
              <w:spacing/>
              <w:ind w:left="15"/>
              <w:rPr>
                <w:rFonts w:asciiTheme="majorBidi" w:hAnsiTheme="majorBidi" w:eastAsia="Baskerville" w:cstheme="majorBidi"/>
                <w:sz w:val="24"/>
                <w:szCs w:val="24"/>
                <w:lang w:val="lt-LT" w:eastAsia="lt-LT"/>
              </w:rPr>
            </w:pPr>
            <w:r>
              <w:rPr>
                <w:rFonts w:asciiTheme="majorBidi" w:hAnsiTheme="majorBidi" w:eastAsia="Baskerville" w:cstheme="majorBidi"/>
                <w:sz w:val="24"/>
                <w:szCs w:val="24"/>
                <w:lang w:val="lt-LT" w:eastAsia="lt-LT"/>
              </w:rPr>
              <w:t xml:space="preserve">Automatizuotas vožtuvas integruotas į mobilios stotelės valdymą. Pradėjus krovos procesą tolygiai atsidaro, artėjant prie nustatyto kiekio tolygiai užsidaro. 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  <w:trHeight w:val="845" w:hRule="atLeast"/>
        </w:trPr>
        <w:tc>
          <w:tcPr>
            <w:tcW w:type="pct" w:w="245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8"/>
              </w:numPr>
              <w:tabs>
                <w:tab w:val="left" w:pos="455"/>
                <w:tab w:val="left" w:pos="5779"/>
              </w:tabs>
              <w:spacing w:after="0"/>
              <w:ind w:left="313" w:hanging="425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komplektuojama su filtru, siurblio įsiurbime. Filtras krepšio (basket) tipo, sietelio akučių skersmuo 1 mm. 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lt-LT"/>
              </w:rPr>
              <w:t xml:space="preserve">Filtro tipas 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</w:p>
        </w:tc>
      </w:tr>
      <w:tr>
        <w:trPr>
          <w:cantSplit/>
          <w:trHeight w:val="1125" w:hRule="atLeast"/>
        </w:trPr>
        <w:tc>
          <w:tcPr>
            <w:tcW w:type="pct" w:w="245"/>
            <w:vMerge w:val="continue"/>
            <w:tcBorders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left" w:pos="5779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tabs>
                <w:tab w:val="left" w:pos="455"/>
                <w:tab w:val="left" w:pos="5779"/>
              </w:tabs>
              <w:spacing w:after="0"/>
              <w:ind w:left="724" w:hanging="724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Kartu komplektuojami manometrai (arba analogiškas prietaisas) slėgio prieš ir slėgio už filtro indikacijai. Manometrai turi tūrėti 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metrologinę patikrą, antivibraciniai, sauso tipo.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Komplektuojama su manometrais arba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lightGray"/>
                <w:lang w:val="lt-LT"/>
              </w:rPr>
              <w:t xml:space="preserve">(įrašyti reikšmę)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 prietaisu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lang w:val="lt-LT"/>
              </w:rPr>
              <w:t xml:space="preserve">(palikti tik vieną siūlomą variantą)</w:t>
            </w:r>
          </w:p>
        </w:tc>
      </w:tr>
      <w:tr>
        <w:trPr>
          <w:cantSplit/>
        </w:trPr>
        <w:tc>
          <w:tcPr>
            <w:tcW w:type="pct" w:w="245"/>
            <w:tcBorders/>
          </w:tcPr>
          <w:p>
            <w:pPr>
              <w:pStyle w:val="ListParagraph"/>
              <w:spacing/>
              <w:ind w:left="360" w:hanging="36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16.</w:t>
            </w:r>
          </w:p>
        </w:tc>
        <w:tc>
          <w:tcPr>
            <w:tcW w:type="pct" w:w="2652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597" w:hanging="597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Mobili krovos stotelė komplektuojama su valdymo spinta, atsparia sprogimui. </w:t>
            </w:r>
          </w:p>
          <w:p>
            <w:pPr>
              <w:pStyle w:val="ListParagraph"/>
              <w:numPr>
                <w:ilvl w:val="1"/>
                <w:numId w:val="3"/>
              </w:numPr>
              <w:tabs>
                <w:tab w:val="left" w:pos="1007"/>
                <w:tab w:val="left" w:pos="5779"/>
              </w:tabs>
              <w:spacing w:after="0"/>
              <w:ind w:hanging="825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Valdymo spintoje sumontuota: </w:t>
            </w:r>
          </w:p>
          <w:p>
            <w:pPr>
              <w:pStyle w:val="ListParagraph"/>
              <w:numPr>
                <w:ilvl w:val="2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887" w:hanging="632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minkšto paleidimo įrenginys, valdymo ir apsaugos elementai. </w:t>
            </w:r>
          </w:p>
          <w:p>
            <w:pPr>
              <w:pStyle w:val="ListParagraph"/>
              <w:numPr>
                <w:ilvl w:val="2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887" w:hanging="632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Siurblio veikimo pasirinkimo jungiklis (įjungta – išjungta), pagrindinis jungiklis, minkšto paleidimo įrenginio atstatymo mygtukas;</w:t>
            </w:r>
          </w:p>
          <w:p>
            <w:pPr>
              <w:pStyle w:val="ListParagraph"/>
              <w:numPr>
                <w:ilvl w:val="2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887" w:hanging="632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Fazių kontrolės relė;</w:t>
            </w:r>
          </w:p>
          <w:p>
            <w:pPr>
              <w:pStyle w:val="ListParagraph"/>
              <w:numPr>
                <w:ilvl w:val="2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887" w:hanging="632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Indikacinės lemputės;  </w:t>
            </w:r>
          </w:p>
          <w:p>
            <w:pPr>
              <w:pStyle w:val="ListParagraph"/>
              <w:numPr>
                <w:ilvl w:val="2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887" w:hanging="632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avarinio stabdymo mygtukas;</w:t>
            </w:r>
          </w:p>
          <w:p>
            <w:pPr>
              <w:pStyle w:val="ListParagraph"/>
              <w:numPr>
                <w:ilvl w:val="2"/>
                <w:numId w:val="3"/>
              </w:numPr>
              <w:tabs>
                <w:tab w:val="left" w:pos="1007"/>
                <w:tab w:val="left" w:pos="5779"/>
              </w:tabs>
              <w:spacing w:after="0"/>
              <w:ind w:left="887" w:hanging="632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ir kitais reikalingais komponentais.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  <w:tr>
        <w:trPr>
          <w:cantSplit/>
        </w:trPr>
        <w:tc>
          <w:tcPr>
            <w:tcW w:type="pct" w:w="245"/>
            <w:tcBorders/>
          </w:tcPr>
          <w:p>
            <w:pPr>
              <w:pStyle w:val="ListParagraph"/>
              <w:spacing/>
              <w:ind w:left="360" w:hanging="360"/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lt-LT"/>
              </w:rPr>
              <w:t xml:space="preserve">17.</w:t>
            </w:r>
          </w:p>
        </w:tc>
        <w:tc>
          <w:tcPr>
            <w:tcW w:type="pct" w:w="2652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 xml:space="preserve">Bendri reikalavimai E/A įrangai: kabeliai atsparūs naftos produktams, UV, skirti lauko sąlygoms, įranga patenkanti į potencialiai pavojingą aplinką turi atitikti Zone 1 IIB T4.</w:t>
            </w:r>
          </w:p>
        </w:tc>
        <w:tc>
          <w:tcPr>
            <w:tcW w:type="pct" w:w="2103"/>
            <w:tcBorders/>
            <w:vAlign w:val="center"/>
          </w:tcPr>
          <w:p>
            <w:pPr>
              <w:spacing/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lt-LT"/>
              </w:rPr>
              <w:t xml:space="preserve">Taip/Ne (nereikalingą išbraukti)</w:t>
            </w:r>
          </w:p>
        </w:tc>
      </w:tr>
    </w:tbl>
    <w:p w14:paraId="492CB742">
      <w:pPr>
        <w:spacing/>
        <w:rPr>
          <w:lang w:val="lt-LT"/>
        </w:rPr>
      </w:pPr>
    </w:p>
    <w:sectPr>
      <w:type w:val="nextPage"/>
      <w:pgSz w:w="16838" w:h="11906"/>
      <w:pgMar w:top="1701" w:right="567" w:bottom="1134" w:left="170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Segoe UI Semilight">
    <w:charset w:val="186"/>
    <w:family w:val="swiss"/>
    <w:pitch w:val="variable"/>
    <w:sig w:usb0="E4002EFF" w:usb1="C000E47F" w:usb2="00000009" w:usb3="00000000" w:csb0="000001FF" w:csb1="00000000"/>
  </w:font>
  <w:font w:name="Aptos Display">
    <w:charset w:val="0"/>
    <w:family w:val="swiss"/>
    <w:pitch w:val="variable"/>
    <w:sig w:usb0="20000287" w:usb1="00000003" w:usb2="00000000" w:usb3="00000000" w:csb0="0000019F" w:csb1="00000000"/>
  </w:font>
  <w:font w:name="Segoe UI">
    <w:charset w:val="186"/>
    <w:family w:val="swiss"/>
    <w:pitch w:val="variable"/>
    <w:sig w:usb0="E4002EFF" w:usb1="C000E47F" w:usb2="00000009" w:usb3="00000000" w:csb0="000001FF" w:csb1="00000000"/>
  </w:font>
  <w:font w:name="Baskerville">
    <w:altName w:val="Times New Roman"/>
    <w:charset w:val="186"/>
    <w:family w:val="roman"/>
    <w:pitch w:val="variable"/>
    <w:sig w:usb0="A00002E7" w:usb1="0000004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B2A1C"/>
    <w:lvl w:ilvl="0">
      <w:start w:val="1"/>
      <w:numFmt w:val="decimal"/>
      <w:suff w:val="tab"/>
      <w:lvlText w:val="%1."/>
      <w:pPr>
        <w:spacing/>
        <w:ind w:left="90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1">
    <w:nsid w:val="1AB1328B"/>
    <w:lvl w:ilvl="0">
      <w:start w:val="9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360" w:hanging="36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720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720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10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10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144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144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1800" w:hanging="1800"/>
      </w:pPr>
      <w:rPr>
        <w:rFonts w:hint="default"/>
      </w:rPr>
    </w:lvl>
  </w:abstractNum>
  <w:abstractNum w:abstractNumId="2">
    <w:nsid w:val="2CD510D3"/>
    <w:lvl w:ilvl="0">
      <w:start w:val="16"/>
      <w:numFmt w:val="decimal"/>
      <w:suff w:val="tab"/>
      <w:lvlText w:val="%1."/>
      <w:pPr>
        <w:spacing/>
        <w:ind w:left="420" w:hanging="42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882" w:hanging="42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644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2106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928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339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852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4674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5136" w:hanging="1440"/>
      </w:pPr>
      <w:rPr>
        <w:rFonts w:hint="default"/>
      </w:rPr>
    </w:lvl>
  </w:abstractNum>
  <w:abstractNum w:abstractNumId="3">
    <w:nsid w:val="30AF5AC8"/>
    <w:lvl w:ilvl="0">
      <w:start w:val="9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4"/>
      <w:numFmt w:val="decimal"/>
      <w:suff w:val="tab"/>
      <w:lvlText w:val="%1.%2."/>
      <w:pPr>
        <w:spacing/>
        <w:ind w:left="360" w:hanging="36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720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720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10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10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144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144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1800" w:hanging="1800"/>
      </w:pPr>
      <w:rPr>
        <w:rFonts w:hint="default"/>
      </w:rPr>
    </w:lvl>
  </w:abstractNum>
  <w:abstractNum w:abstractNumId="4">
    <w:nsid w:val="33D53958"/>
    <w:lvl w:ilvl="0">
      <w:start w:val="15"/>
      <w:numFmt w:val="decimal"/>
      <w:suff w:val="tab"/>
      <w:lvlText w:val="%1."/>
      <w:pPr>
        <w:spacing/>
        <w:ind w:left="480" w:hanging="480"/>
      </w:pPr>
      <w:rPr>
        <w:rFonts w:hint="default"/>
      </w:rPr>
    </w:lvl>
    <w:lvl w:ilvl="1">
      <w:start w:val="2"/>
      <w:numFmt w:val="decimal"/>
      <w:suff w:val="tab"/>
      <w:lvlText w:val="%1.%2."/>
      <w:pPr>
        <w:spacing/>
        <w:ind w:left="793" w:hanging="48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346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659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332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64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318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631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04" w:hanging="1800"/>
      </w:pPr>
      <w:rPr>
        <w:rFonts w:hint="default"/>
      </w:rPr>
    </w:lvl>
  </w:abstractNum>
  <w:abstractNum w:abstractNumId="5">
    <w:nsid w:val="470F5285"/>
    <w:lvl w:ilvl="0">
      <w:start w:val="4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64" w:hanging="360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suff w:val="tab"/>
      <w:lvlText w:val="%1.%2.%3."/>
      <w:pPr>
        <w:spacing/>
        <w:ind w:left="1572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998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784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321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636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4422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848" w:hanging="1440"/>
      </w:pPr>
      <w:rPr>
        <w:rFonts w:hint="default"/>
      </w:rPr>
    </w:lvl>
  </w:abstractNum>
  <w:abstractNum w:abstractNumId="6">
    <w:nsid w:val="6BCF295E"/>
    <w:lvl w:ilvl="0">
      <w:start w:val="8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3"/>
      <w:numFmt w:val="decimal"/>
      <w:suff w:val="tab"/>
      <w:lvlText w:val="%1.%2."/>
      <w:pPr>
        <w:spacing/>
        <w:ind w:left="1099" w:hanging="360"/>
      </w:pPr>
      <w:rPr>
        <w:rFonts w:hint="default"/>
        <w:i w:val="0"/>
        <w:iCs w:val="0"/>
      </w:rPr>
    </w:lvl>
    <w:lvl w:ilvl="2">
      <w:start w:val="1"/>
      <w:numFmt w:val="decimal"/>
      <w:suff w:val="tab"/>
      <w:lvlText w:val="%1.%2.%3."/>
      <w:pPr>
        <w:spacing/>
        <w:ind w:left="2198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2937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403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477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5514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661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7352" w:hanging="1440"/>
      </w:pPr>
      <w:rPr>
        <w:rFonts w:hint="default"/>
      </w:rPr>
    </w:lvl>
  </w:abstractNum>
  <w:abstractNum w:abstractNumId="7">
    <w:nsid w:val="6C652FE1"/>
    <w:lvl w:ilvl="0">
      <w:start w:val="12"/>
      <w:numFmt w:val="decimal"/>
      <w:suff w:val="tab"/>
      <w:lvlText w:val="%1."/>
      <w:pPr>
        <w:spacing/>
        <w:ind w:left="480" w:hanging="48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3" w:hanging="48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346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659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332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64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318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631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04" w:hanging="1800"/>
      </w:pPr>
      <w:rPr>
        <w:rFonts w:hint="default"/>
      </w:rPr>
    </w:lvl>
  </w:abstractNum>
  <w:abstractNum w:abstractNumId="8">
    <w:nsid w:val="6D1D3586"/>
    <w:lvl w:ilvl="0">
      <w:start w:val="10"/>
      <w:numFmt w:val="decimal"/>
      <w:suff w:val="tab"/>
      <w:lvlText w:val="%1."/>
      <w:pPr>
        <w:spacing/>
        <w:ind w:left="480" w:hanging="48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480" w:hanging="48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720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720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10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10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144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144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20" w:line="240" w:lineRule="auto"/>
      <w:jc w:val="both"/>
    </w:pPr>
    <w:rPr>
      <w:rFonts w:ascii="Segoe UI Semilight" w:hAnsi="Segoe UI Semilight" w:eastAsia="Times New Roman" w:cs="Segoe UI Semilight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color w:val="0F476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numPr>
      <w:ilvl w:val="1"/>
    </w:numPr>
    <w:pPr>
      <w:numPr>
        <w:ilvl w:val="1"/>
      </w:numPr>
      <w:spacing/>
    </w:pPr>
    <w:rPr>
      <w:rFonts w:eastAsiaTheme="majorEastAsia" w:cstheme="majorBidi"/>
      <w:color w:val="595959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link w:val="ListParagraphChar"/>
    <w:uiPriority w:val="99"/>
    <w:qFormat/>
    <w:pPr>
      <w:spacing/>
      <w:ind w:left="720"/>
      <w:contextualSpacing/>
    </w:pPr>
    <w:rPr/>
  </w:style>
  <w:style w:type="character" w:styleId="IntenseEmphasis" w:customStyle="1">
    <w:name w:val="Intense Emphasis"/>
    <w:basedOn w:val="DefaultParagraphFont"/>
    <w:uiPriority w:val="21"/>
    <w:qFormat/>
    <w:rPr>
      <w:i/>
      <w:iCs/>
      <w:color w:val="0F4761"/>
    </w:rPr>
  </w:style>
  <w:style w:type="paragraph" w:styleId="IntenseQuote" w:customStyle="1">
    <w:name w:val="Intense Quote"/>
    <w:basedOn w:val="Normal"/>
    <w:next w:val="Normal"/>
    <w:link w:val="IntenseQuoteChar"/>
    <w:uiPriority w:val="30"/>
    <w:qFormat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/>
    </w:rPr>
  </w:style>
  <w:style w:type="character" w:styleId="IntenseReference" w:customStyle="1">
    <w:name w:val="Intense Reference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ListParagraphChar" w:customStyle="1">
    <w:name w:val="List Paragraph Char"/>
    <w:basedOn w:val="DefaultParagraphFont"/>
    <w:link w:val="ListParagraph"/>
    <w:uiPriority w:val="99"/>
    <w:qFormat/>
    <w:rPr/>
  </w:style>
  <w:style w:type="table" w:styleId="TableGrid1" w:customStyle="1">
    <w:name w:val="Table Grid1"/>
    <w:basedOn w:val="TableNormal"/>
    <w:next w:val="TableGrid"/>
    <w:uiPriority w:val="99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f01" w:customStyle="1">
    <w:name w:val="cf01"/>
    <w:basedOn w:val="DefaultParagraphFont"/>
    <w:rPr>
      <w:rFonts w:ascii="Segoe UI" w:hAnsi="Segoe UI" w:cs="Segoe UI" w:hint="default"/>
      <w:b/>
      <w:bCs/>
      <w:sz w:val="18"/>
      <w:szCs w:val="18"/>
    </w:rPr>
  </w:style>
  <w:style w:type="character" w:styleId="cf11" w:customStyle="1">
    <w:name w:val="cf1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uiPriority w:val="99"/>
    <w:rPr>
      <w:rFonts w:ascii="Segoe UI Semilight" w:hAnsi="Segoe UI Semilight" w:eastAsia="Times New Roman" w:cs="Segoe UI Semilight"/>
      <w:kern w:val="0"/>
      <w:sz w:val="20"/>
      <w:szCs w:val="20"/>
      <w:lang w:val="en-US"/>
      <w14:ligatures w14:val="none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Segoe UI Semilight" w:hAnsi="Segoe UI Semilight" w:eastAsia="Times New Roman" w:cs="Segoe UI Semilight"/>
      <w:b/>
      <w:bCs/>
      <w:kern w:val="0"/>
      <w:sz w:val="20"/>
      <w:szCs w:val="20"/>
      <w:lang w:val="en-US"/>
      <w14:ligatures w14:val="none"/>
    </w:rPr>
  </w:style>
  <w:style w:type="paragraph" w:styleId="Revision" w:customStyle="1">
    <w:name w:val="Revision"/>
    <w:uiPriority w:val="99"/>
    <w:semiHidden/>
    <w:pPr>
      <w:spacing w:after="0" w:line="240" w:lineRule="auto"/>
    </w:pPr>
    <w:rPr>
      <w:rFonts w:ascii="Segoe UI Semilight" w:hAnsi="Segoe UI Semilight" w:eastAsia="Times New Roman" w:cs="Segoe UI Semilight"/>
      <w:kern w:val="0"/>
      <w:szCs w:val="20"/>
      <w:lang w:val="en-US"/>
      <w14:ligatures w14:val="none"/>
    </w:rPr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fontTable" Target="fontTable.xml" /><Relationship Id="rId1" Type="http://schemas.openxmlformats.org/officeDocument/2006/relationships/image" Target="media/image1.emf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e4104-5013-43ee-8832-05f5f07917ca">
      <Terms xmlns="http://schemas.microsoft.com/office/infopath/2007/PartnerControls">
      </Terms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B7F2D8F5BE25B4886CD8CD856E1635C" ma:contentTypeVersion="9" ma:contentTypeDescription="Kurkite naują dokumentą." ma:contentTypeScope="" ma:versionID="c8aaa7788e2ae09efda30d62fa3a7d13">
  <xsd:schema xmlns:xsd="http://www.w3.org/2001/XMLSchema" xmlns:xs="http://www.w3.org/2001/XMLSchema" xmlns:p="http://schemas.microsoft.com/office/2006/metadata/properties" xmlns:ns2="127e4104-5013-43ee-8832-05f5f07917ca" targetNamespace="http://schemas.microsoft.com/office/2006/metadata/properties" ma:root="true" ma:fieldsID="27b9f1e7fa05ebb40e4afb4660593ae7" ns2:_="">
    <xsd:import namespace="127e4104-5013-43ee-8832-05f5f0791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e4104-5013-43ee-8832-05f5f079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0C926-930D-45A7-9ED3-234905E5C5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FF0E8-8B70-4F14-88D9-4C9F18498B26}">
  <ds:schemaRefs>
    <ds:schemaRef ds:uri="127e4104-5013-43ee-8832-05f5f07917ca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5A9A15-34C1-45FE-99D5-75A59459F43B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Application>Microsoft Word for the web</Application>
  <DocSecurity>0</DocSecurity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Seniūnas</dc:creator>
  <cp:keywords/>
  <dc:description/>
  <cp:lastModifiedBy>Eglė Kaminaitė</cp:lastModifiedBy>
  <cp:revision>42</cp:revision>
  <dcterms:created xsi:type="dcterms:W3CDTF">2025-10-17T07:51:00Z</dcterms:created>
  <dcterms:modified xsi:type="dcterms:W3CDTF">2025-10-31T11:27:42Z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0x0101001B7F2D8F5BE25B4886CD8CD856E1635C</vt:lpstr>
  </property>
  <property fmtid="{D5CDD505-2E9C-101B-9397-08002B2CF9AE}" name="MediaServiceImageTags" pid="3">
    <vt:lpstr/>
  </property>
</Properties>
</file>